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60" w:before="0"/>
      </w:pPr>
      <w:r>
        <w:rPr>
          <w:rFonts w:ascii="Calibri" w:cs="Calibri" w:eastAsia="Calibri" w:hAnsi="Calibri"/>
          <w:b/>
          <w:bCs/>
          <w:i w:val="false"/>
          <w:iCs w:val="false"/>
          <w:caps w:val="false"/>
          <w:color w:val="0F1C69"/>
          <w:sz w:val="40"/>
          <w:szCs w:val="40"/>
        </w:rPr>
        <w:t xml:space="preserve">Financing Europe 2027</w:t>
      </w:r>
    </w:p>
    <w:p>
      <w:pPr>
        <w:keepNext w:val="false"/>
        <w:pBdr>
          <w:bottom w:val="single" w:color="D8DCE2" w:sz="6" w:space="8"/>
        </w:pBdr>
        <w:spacing w:after="200" w:before="0"/>
      </w:pPr>
      <w:r>
        <w:rPr>
          <w:rFonts w:ascii="Calibri" w:cs="Calibri" w:eastAsia="Calibri" w:hAnsi="Calibri"/>
          <w:b w:val="false"/>
          <w:bCs w:val="false"/>
          <w:i w:val="false"/>
          <w:iCs w:val="false"/>
          <w:caps/>
          <w:color w:val="5A6472"/>
          <w:spacing w:val="20"/>
          <w:sz w:val="17"/>
          <w:szCs w:val="17"/>
        </w:rPr>
        <w:t xml:space="preserve">The 24th edition · Thursday 4 February 2027 · BNP Paribas, Brussels</w:t>
      </w:r>
    </w:p>
    <w:p>
      <w:pPr>
        <w:keepNext w:val="false"/>
        <w:spacing w:after="240" w:before="240"/>
      </w:pPr>
      <w:r>
        <w:rPr>
          <w:rFonts w:ascii="Calibri" w:cs="Calibri" w:eastAsia="Calibri" w:hAnsi="Calibri"/>
          <w:b w:val="false"/>
          <w:bCs w:val="false"/>
          <w:i w:val="false"/>
          <w:iCs w:val="false"/>
          <w:caps w:val="false"/>
          <w:color w:val="0F1C69"/>
          <w:sz w:val="25"/>
          <w:szCs w:val="25"/>
        </w:rPr>
        <w:t xml:space="preserve">How does Europe get its own capital moving into what it must build?</w:t>
      </w:r>
    </w:p>
    <w:p>
      <w:pPr>
        <w:keepNext w:val="false"/>
        <w:spacing w:after="320" w:before="0"/>
      </w:pPr>
      <w:r>
        <w:rPr>
          <w:rFonts w:ascii="Calibri" w:cs="Calibri" w:eastAsia="Calibri" w:hAnsi="Calibri"/>
          <w:b w:val="false"/>
          <w:bCs w:val="false"/>
          <w:i w:val="false"/>
          <w:iCs w:val="false"/>
          <w:caps w:val="false"/>
          <w:color w:val="111827"/>
          <w:sz w:val="21"/>
          <w:szCs w:val="21"/>
        </w:rPr>
        <w:t xml:space="preserve">Financing Europe 2027 asks whether the reforms Europe has been legislating will change where European capital actually goes. It brings leaders from global finance, European industry and EU and Member State policymaking together for a single day in Brussels.</w:t>
      </w:r>
    </w:p>
    <w:p>
      <w:pPr>
        <w:keepNext w:val="false"/>
        <w:spacing w:after="160" w:before="0"/>
      </w:pPr>
      <w:r>
        <w:rPr>
          <w:rFonts w:ascii="Calibri" w:cs="Calibri" w:eastAsia="Calibri" w:hAnsi="Calibri"/>
          <w:b/>
          <w:bCs/>
          <w:i w:val="false"/>
          <w:iCs w:val="false"/>
          <w:caps/>
          <w:color w:val="0D9F7D"/>
          <w:spacing w:val="20"/>
          <w:sz w:val="19"/>
          <w:szCs w:val="19"/>
        </w:rPr>
        <w:t xml:space="preserve">The running order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22%"/>
            <w:tcBorders>
              <w:top w:val="single" w:color="D8DCE2" w:sz="2"/>
              <w:left w:val="none" w:color="FFFFFF" w:sz="0"/>
              <w:bottom w:val="single" w:color="D8DCE2" w:sz="2"/>
              <w:right w:val="none" w:color="FFFFFF" w:sz="0"/>
            </w:tcBorders>
            <w:shd w:fill="F4F6F8" w:val="clear"/>
            <w:tcMar>
              <w:top w:type="dxa" w:w="90"/>
              <w:left w:type="dxa" w:w="110"/>
              <w:bottom w:type="dxa" w:w="90"/>
              <w:right w:type="dxa" w:w="110"/>
            </w:tcMar>
          </w:tcPr>
          <w:p>
            <w:pPr>
              <w:keepNext w:val="false"/>
              <w:spacing w:after="0" w:before="0"/>
            </w:pPr>
            <w:r>
              <w:rPr>
                <w:rFonts w:ascii="Calibri" w:cs="Calibri" w:eastAsia="Calibri" w:hAnsi="Calibri"/>
                <w:b/>
                <w:bCs/>
                <w:i w:val="false"/>
                <w:iCs w:val="false"/>
                <w:caps/>
                <w:color w:val="5A6472"/>
                <w:spacing w:val="20"/>
                <w:sz w:val="17"/>
                <w:szCs w:val="17"/>
              </w:rPr>
              <w:t xml:space="preserve">Time</w:t>
            </w:r>
          </w:p>
        </w:tc>
        <w:tc>
          <w:tcPr>
            <w:tcW w:type="pct" w:w="58%"/>
            <w:tcBorders>
              <w:top w:val="single" w:color="D8DCE2" w:sz="2"/>
              <w:left w:val="none" w:color="FFFFFF" w:sz="0"/>
              <w:bottom w:val="single" w:color="D8DCE2" w:sz="2"/>
              <w:right w:val="none" w:color="FFFFFF" w:sz="0"/>
            </w:tcBorders>
            <w:shd w:fill="F4F6F8" w:val="clear"/>
            <w:tcMar>
              <w:top w:type="dxa" w:w="90"/>
              <w:left w:type="dxa" w:w="110"/>
              <w:bottom w:type="dxa" w:w="90"/>
              <w:right w:type="dxa" w:w="110"/>
            </w:tcMar>
          </w:tcPr>
          <w:p>
            <w:pPr>
              <w:keepNext w:val="false"/>
              <w:spacing w:after="0" w:before="0"/>
            </w:pPr>
            <w:r>
              <w:rPr>
                <w:rFonts w:ascii="Calibri" w:cs="Calibri" w:eastAsia="Calibri" w:hAnsi="Calibri"/>
                <w:b/>
                <w:bCs/>
                <w:i w:val="false"/>
                <w:iCs w:val="false"/>
                <w:caps/>
                <w:color w:val="5A6472"/>
                <w:spacing w:val="20"/>
                <w:sz w:val="17"/>
                <w:szCs w:val="17"/>
              </w:rPr>
              <w:t xml:space="preserve">Session</w:t>
            </w:r>
          </w:p>
        </w:tc>
        <w:tc>
          <w:tcPr>
            <w:tcW w:type="pct" w:w="20%"/>
            <w:tcBorders>
              <w:top w:val="single" w:color="D8DCE2" w:sz="2"/>
              <w:left w:val="none" w:color="FFFFFF" w:sz="0"/>
              <w:bottom w:val="single" w:color="D8DCE2" w:sz="2"/>
              <w:right w:val="none" w:color="FFFFFF" w:sz="0"/>
            </w:tcBorders>
            <w:shd w:fill="F4F6F8" w:val="clear"/>
            <w:tcMar>
              <w:top w:type="dxa" w:w="90"/>
              <w:left w:type="dxa" w:w="110"/>
              <w:bottom w:type="dxa" w:w="90"/>
              <w:right w:type="dxa" w:w="110"/>
            </w:tcMar>
          </w:tcPr>
          <w:p>
            <w:pPr>
              <w:keepNext w:val="false"/>
              <w:spacing w:after="0" w:before="0"/>
            </w:pPr>
            <w:r>
              <w:rPr>
                <w:rFonts w:ascii="Calibri" w:cs="Calibri" w:eastAsia="Calibri" w:hAnsi="Calibri"/>
                <w:b/>
                <w:bCs/>
                <w:i w:val="false"/>
                <w:iCs w:val="false"/>
                <w:caps/>
                <w:color w:val="5A6472"/>
                <w:spacing w:val="20"/>
                <w:sz w:val="17"/>
                <w:szCs w:val="17"/>
              </w:rPr>
              <w:t xml:space="preserve">Format</w:t>
            </w:r>
          </w:p>
        </w:tc>
      </w:tr>
      <w:tr>
        <w:tc>
          <w:tcPr>
            <w:tcW w:type="pct" w:w="100%"/>
            <w:gridSpan w:val="3"/>
            <w:tcBorders>
              <w:top w:val="single" w:color="D8DCE2" w:sz="2"/>
              <w:left w:val="none" w:color="FFFFFF" w:sz="0"/>
              <w:bottom w:val="single" w:color="D8DCE2" w:sz="2"/>
              <w:right w:val="none" w:color="FFFFFF" w:sz="0"/>
            </w:tcBorders>
            <w:tcMar>
              <w:top w:type="dxa" w:w="220"/>
              <w:left w:type="dxa" w:w="110"/>
              <w:bottom w:type="dxa" w:w="90"/>
              <w:right w:type="dxa" w:w="110"/>
            </w:tcMar>
          </w:tcPr>
          <w:p>
            <w:pPr>
              <w:keepNext w:val="false"/>
              <w:spacing w:after="0" w:before="0"/>
            </w:pPr>
            <w:r>
              <w:rPr>
                <w:rFonts w:ascii="Calibri" w:cs="Calibri" w:eastAsia="Calibri" w:hAnsi="Calibri"/>
                <w:b/>
                <w:bCs/>
                <w:i w:val="false"/>
                <w:iCs w:val="false"/>
                <w:caps/>
                <w:color w:val="0D9F7D"/>
                <w:spacing w:val="20"/>
                <w:sz w:val="17"/>
                <w:szCs w:val="17"/>
              </w:rPr>
              <w:t xml:space="preserve">The conference, Thursday 4 February 2027</w:t>
            </w:r>
          </w:p>
        </w:tc>
      </w:tr>
      <w:tr>
        <w:tc>
          <w:tcPr>
            <w:tcW w:type="pct" w:w="22%"/>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val="false"/>
                <w:bCs w:val="false"/>
                <w:i w:val="false"/>
                <w:iCs w:val="false"/>
                <w:caps w:val="false"/>
                <w:color w:val="5A6472"/>
                <w:sz w:val="19"/>
                <w:szCs w:val="19"/>
              </w:rPr>
              <w:t xml:space="preserve">09:00 to 09:30</w:t>
            </w:r>
          </w:p>
        </w:tc>
        <w:tc>
          <w:tcPr>
            <w:tcW w:type="pct" w:w="58%"/>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bCs/>
                <w:i w:val="false"/>
                <w:iCs w:val="false"/>
                <w:caps w:val="false"/>
                <w:color w:val="0F1C69"/>
                <w:sz w:val="20"/>
                <w:szCs w:val="20"/>
              </w:rPr>
              <w:t xml:space="preserve">Registration and Welcome Coffee</w:t>
            </w:r>
          </w:p>
        </w:tc>
        <w:tc>
          <w:tcPr>
            <w:tcW w:type="pct" w:w="20%"/>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val="false"/>
                <w:bCs w:val="false"/>
                <w:i w:val="false"/>
                <w:iCs w:val="false"/>
                <w:caps/>
                <w:color w:val="5A6472"/>
                <w:spacing w:val="20"/>
                <w:sz w:val="17"/>
                <w:szCs w:val="17"/>
              </w:rPr>
              <w:t xml:space="preserve">REGISTRATION</w:t>
            </w:r>
          </w:p>
        </w:tc>
      </w:tr>
      <w:tr>
        <w:tc>
          <w:tcPr>
            <w:tcW w:type="pct" w:w="22%"/>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val="false"/>
                <w:bCs w:val="false"/>
                <w:i w:val="false"/>
                <w:iCs w:val="false"/>
                <w:caps w:val="false"/>
                <w:color w:val="5A6472"/>
                <w:sz w:val="19"/>
                <w:szCs w:val="19"/>
              </w:rPr>
              <w:t xml:space="preserve">09:30 to 09:35</w:t>
            </w:r>
          </w:p>
        </w:tc>
        <w:tc>
          <w:tcPr>
            <w:tcW w:type="pct" w:w="58%"/>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bCs/>
                <w:i w:val="false"/>
                <w:iCs w:val="false"/>
                <w:caps w:val="false"/>
                <w:color w:val="0F1C69"/>
                <w:sz w:val="20"/>
                <w:szCs w:val="20"/>
              </w:rPr>
              <w:t xml:space="preserve">Welcome from the Conference Partners</w:t>
            </w:r>
          </w:p>
        </w:tc>
        <w:tc>
          <w:tcPr>
            <w:tcW w:type="pct" w:w="20%"/>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val="false"/>
                <w:bCs w:val="false"/>
                <w:i w:val="false"/>
                <w:iCs w:val="false"/>
                <w:caps/>
                <w:color w:val="5A6472"/>
                <w:spacing w:val="20"/>
                <w:sz w:val="17"/>
                <w:szCs w:val="17"/>
              </w:rPr>
              <w:t xml:space="preserve">WELCOME</w:t>
            </w:r>
          </w:p>
        </w:tc>
      </w:tr>
      <w:tr>
        <w:tc>
          <w:tcPr>
            <w:tcW w:type="pct" w:w="22%"/>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val="false"/>
                <w:bCs w:val="false"/>
                <w:i w:val="false"/>
                <w:iCs w:val="false"/>
                <w:caps w:val="false"/>
                <w:color w:val="5A6472"/>
                <w:sz w:val="19"/>
                <w:szCs w:val="19"/>
              </w:rPr>
              <w:t xml:space="preserve">09:35 to 10:00</w:t>
            </w:r>
          </w:p>
        </w:tc>
        <w:tc>
          <w:tcPr>
            <w:tcW w:type="pct" w:w="58%"/>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bCs/>
                <w:i w:val="false"/>
                <w:iCs w:val="false"/>
                <w:caps w:val="false"/>
                <w:color w:val="0F1C69"/>
                <w:sz w:val="20"/>
                <w:szCs w:val="20"/>
              </w:rPr>
              <w:t xml:space="preserve">The Savings and Investments Union Record: What Has Changed in How Capital Moves?</w:t>
            </w:r>
          </w:p>
        </w:tc>
        <w:tc>
          <w:tcPr>
            <w:tcW w:type="pct" w:w="20%"/>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val="false"/>
                <w:bCs w:val="false"/>
                <w:i w:val="false"/>
                <w:iCs w:val="false"/>
                <w:caps/>
                <w:color w:val="5A6472"/>
                <w:spacing w:val="20"/>
                <w:sz w:val="17"/>
                <w:szCs w:val="17"/>
              </w:rPr>
              <w:t xml:space="preserve">KEYNOTE INTERVIEW</w:t>
            </w:r>
          </w:p>
        </w:tc>
      </w:tr>
      <w:tr>
        <w:tc>
          <w:tcPr>
            <w:tcW w:type="pct" w:w="22%"/>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val="false"/>
                <w:bCs w:val="false"/>
                <w:i w:val="false"/>
                <w:iCs w:val="false"/>
                <w:caps w:val="false"/>
                <w:color w:val="5A6472"/>
                <w:sz w:val="19"/>
                <w:szCs w:val="19"/>
              </w:rPr>
              <w:t xml:space="preserve">10:00 to 10:50</w:t>
            </w:r>
          </w:p>
        </w:tc>
        <w:tc>
          <w:tcPr>
            <w:tcW w:type="pct" w:w="58%"/>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bCs/>
                <w:i w:val="false"/>
                <w:iCs w:val="false"/>
                <w:caps w:val="false"/>
                <w:color w:val="0F1C69"/>
                <w:sz w:val="20"/>
                <w:szCs w:val="20"/>
              </w:rPr>
              <w:t xml:space="preserve">Banking Competitiveness and the 2027 Banking Package: Can Europe’s Banks Finance What Europe Must Build?</w:t>
            </w:r>
          </w:p>
        </w:tc>
        <w:tc>
          <w:tcPr>
            <w:tcW w:type="pct" w:w="20%"/>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val="false"/>
                <w:bCs w:val="false"/>
                <w:i w:val="false"/>
                <w:iCs w:val="false"/>
                <w:caps/>
                <w:color w:val="5A6472"/>
                <w:spacing w:val="20"/>
                <w:sz w:val="17"/>
                <w:szCs w:val="17"/>
              </w:rPr>
              <w:t xml:space="preserve">PANEL 1</w:t>
            </w:r>
          </w:p>
        </w:tc>
      </w:tr>
      <w:tr>
        <w:tc>
          <w:tcPr>
            <w:tcW w:type="pct" w:w="22%"/>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val="false"/>
                <w:bCs w:val="false"/>
                <w:i w:val="false"/>
                <w:iCs w:val="false"/>
                <w:caps w:val="false"/>
                <w:color w:val="5A6472"/>
                <w:sz w:val="19"/>
                <w:szCs w:val="19"/>
              </w:rPr>
              <w:t xml:space="preserve">10:50 to 11:25</w:t>
            </w:r>
          </w:p>
        </w:tc>
        <w:tc>
          <w:tcPr>
            <w:tcW w:type="pct" w:w="58%"/>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val="false"/>
                <w:bCs w:val="false"/>
                <w:i w:val="false"/>
                <w:iCs w:val="false"/>
                <w:caps w:val="false"/>
                <w:color w:val="5A6472"/>
                <w:sz w:val="20"/>
                <w:szCs w:val="20"/>
              </w:rPr>
              <w:t xml:space="preserve">Coffee and Networking</w:t>
            </w:r>
          </w:p>
        </w:tc>
        <w:tc>
          <w:tcPr>
            <w:tcW w:type="pct" w:w="20%"/>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val="false"/>
                <w:bCs w:val="false"/>
                <w:i w:val="false"/>
                <w:iCs w:val="false"/>
                <w:caps/>
                <w:color w:val="5A6472"/>
                <w:spacing w:val="20"/>
                <w:sz w:val="17"/>
                <w:szCs w:val="17"/>
              </w:rPr>
              <w:t xml:space="preserve"/>
            </w:r>
          </w:p>
        </w:tc>
      </w:tr>
      <w:tr>
        <w:tc>
          <w:tcPr>
            <w:tcW w:type="pct" w:w="22%"/>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val="false"/>
                <w:bCs w:val="false"/>
                <w:i w:val="false"/>
                <w:iCs w:val="false"/>
                <w:caps w:val="false"/>
                <w:color w:val="5A6472"/>
                <w:sz w:val="19"/>
                <w:szCs w:val="19"/>
              </w:rPr>
              <w:t xml:space="preserve">11:25 to 12:15</w:t>
            </w:r>
          </w:p>
        </w:tc>
        <w:tc>
          <w:tcPr>
            <w:tcW w:type="pct" w:w="58%"/>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bCs/>
                <w:i w:val="false"/>
                <w:iCs w:val="false"/>
                <w:caps w:val="false"/>
                <w:color w:val="0F1C69"/>
                <w:sz w:val="20"/>
                <w:szCs w:val="20"/>
              </w:rPr>
              <w:t xml:space="preserve">The Supervision Package: Should ESMA Supervise All of Europe’s Market Infrastructure, or Only the Largest?</w:t>
            </w:r>
          </w:p>
        </w:tc>
        <w:tc>
          <w:tcPr>
            <w:tcW w:type="pct" w:w="20%"/>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val="false"/>
                <w:bCs w:val="false"/>
                <w:i w:val="false"/>
                <w:iCs w:val="false"/>
                <w:caps/>
                <w:color w:val="5A6472"/>
                <w:spacing w:val="20"/>
                <w:sz w:val="17"/>
                <w:szCs w:val="17"/>
              </w:rPr>
              <w:t xml:space="preserve">PANEL 2</w:t>
            </w:r>
          </w:p>
        </w:tc>
      </w:tr>
      <w:tr>
        <w:tc>
          <w:tcPr>
            <w:tcW w:type="pct" w:w="22%"/>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val="false"/>
                <w:bCs w:val="false"/>
                <w:i w:val="false"/>
                <w:iCs w:val="false"/>
                <w:caps w:val="false"/>
                <w:color w:val="5A6472"/>
                <w:sz w:val="19"/>
                <w:szCs w:val="19"/>
              </w:rPr>
              <w:t xml:space="preserve">12:15 to 13:05</w:t>
            </w:r>
          </w:p>
        </w:tc>
        <w:tc>
          <w:tcPr>
            <w:tcW w:type="pct" w:w="58%"/>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bCs/>
                <w:i w:val="false"/>
                <w:iCs w:val="false"/>
                <w:caps w:val="false"/>
                <w:color w:val="0F1C69"/>
                <w:sz w:val="20"/>
                <w:szCs w:val="20"/>
              </w:rPr>
              <w:t xml:space="preserve">Bank Capital, Securitisation and Solvency II: Europe Has the Capital, So Why Doesn’t It Move?</w:t>
            </w:r>
          </w:p>
        </w:tc>
        <w:tc>
          <w:tcPr>
            <w:tcW w:type="pct" w:w="20%"/>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val="false"/>
                <w:bCs w:val="false"/>
                <w:i w:val="false"/>
                <w:iCs w:val="false"/>
                <w:caps/>
                <w:color w:val="5A6472"/>
                <w:spacing w:val="20"/>
                <w:sz w:val="17"/>
                <w:szCs w:val="17"/>
              </w:rPr>
              <w:t xml:space="preserve">PANEL 3</w:t>
            </w:r>
          </w:p>
        </w:tc>
      </w:tr>
      <w:tr>
        <w:tc>
          <w:tcPr>
            <w:tcW w:type="pct" w:w="22%"/>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val="false"/>
                <w:bCs w:val="false"/>
                <w:i w:val="false"/>
                <w:iCs w:val="false"/>
                <w:caps w:val="false"/>
                <w:color w:val="5A6472"/>
                <w:sz w:val="19"/>
                <w:szCs w:val="19"/>
              </w:rPr>
              <w:t xml:space="preserve">13:05 to 14:05</w:t>
            </w:r>
          </w:p>
        </w:tc>
        <w:tc>
          <w:tcPr>
            <w:tcW w:type="pct" w:w="58%"/>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bCs/>
                <w:i w:val="false"/>
                <w:iCs w:val="false"/>
                <w:caps w:val="false"/>
                <w:color w:val="0F1C69"/>
                <w:sz w:val="20"/>
                <w:szCs w:val="20"/>
              </w:rPr>
              <w:t xml:space="preserve">Networking Buffet Lunch</w:t>
            </w:r>
          </w:p>
        </w:tc>
        <w:tc>
          <w:tcPr>
            <w:tcW w:type="pct" w:w="20%"/>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val="false"/>
                <w:bCs w:val="false"/>
                <w:i w:val="false"/>
                <w:iCs w:val="false"/>
                <w:caps/>
                <w:color w:val="5A6472"/>
                <w:spacing w:val="20"/>
                <w:sz w:val="17"/>
                <w:szCs w:val="17"/>
              </w:rPr>
              <w:t xml:space="preserve">NETWORKING LUNCH</w:t>
            </w:r>
          </w:p>
        </w:tc>
      </w:tr>
      <w:tr>
        <w:tc>
          <w:tcPr>
            <w:tcW w:type="pct" w:w="22%"/>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val="false"/>
                <w:bCs w:val="false"/>
                <w:i w:val="false"/>
                <w:iCs w:val="false"/>
                <w:caps w:val="false"/>
                <w:color w:val="5A6472"/>
                <w:sz w:val="19"/>
                <w:szCs w:val="19"/>
              </w:rPr>
              <w:t xml:space="preserve">13:05 to 14:05</w:t>
            </w:r>
          </w:p>
        </w:tc>
        <w:tc>
          <w:tcPr>
            <w:tcW w:type="pct" w:w="58%"/>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bCs/>
                <w:i w:val="false"/>
                <w:iCs w:val="false"/>
                <w:caps w:val="false"/>
                <w:color w:val="0F1C69"/>
                <w:sz w:val="20"/>
                <w:szCs w:val="20"/>
              </w:rPr>
              <w:t xml:space="preserve">Private VIP and Speakers Lunch</w:t>
            </w:r>
          </w:p>
        </w:tc>
        <w:tc>
          <w:tcPr>
            <w:tcW w:type="pct" w:w="20%"/>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val="false"/>
                <w:bCs w:val="false"/>
                <w:i w:val="false"/>
                <w:iCs w:val="false"/>
                <w:caps/>
                <w:color w:val="5A6472"/>
                <w:spacing w:val="20"/>
                <w:sz w:val="17"/>
                <w:szCs w:val="17"/>
              </w:rPr>
              <w:t xml:space="preserve">PRIVATE LUNCH</w:t>
            </w:r>
          </w:p>
        </w:tc>
      </w:tr>
      <w:tr>
        <w:tc>
          <w:tcPr>
            <w:tcW w:type="pct" w:w="22%"/>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val="false"/>
                <w:bCs w:val="false"/>
                <w:i w:val="false"/>
                <w:iCs w:val="false"/>
                <w:caps w:val="false"/>
                <w:color w:val="5A6472"/>
                <w:sz w:val="19"/>
                <w:szCs w:val="19"/>
              </w:rPr>
              <w:t xml:space="preserve">14:05 to 14:55</w:t>
            </w:r>
          </w:p>
        </w:tc>
        <w:tc>
          <w:tcPr>
            <w:tcW w:type="pct" w:w="58%"/>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bCs/>
                <w:i w:val="false"/>
                <w:iCs w:val="false"/>
                <w:caps w:val="false"/>
                <w:color w:val="0F1C69"/>
                <w:sz w:val="20"/>
                <w:szCs w:val="20"/>
              </w:rPr>
              <w:t xml:space="preserve">Late Stage Capital, Listings and the Scaleup Fund: Where Does Europe’s Growth Chain Break?</w:t>
            </w:r>
          </w:p>
        </w:tc>
        <w:tc>
          <w:tcPr>
            <w:tcW w:type="pct" w:w="20%"/>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val="false"/>
                <w:bCs w:val="false"/>
                <w:i w:val="false"/>
                <w:iCs w:val="false"/>
                <w:caps/>
                <w:color w:val="5A6472"/>
                <w:spacing w:val="20"/>
                <w:sz w:val="17"/>
                <w:szCs w:val="17"/>
              </w:rPr>
              <w:t xml:space="preserve">PANEL 4</w:t>
            </w:r>
          </w:p>
        </w:tc>
      </w:tr>
      <w:tr>
        <w:tc>
          <w:tcPr>
            <w:tcW w:type="pct" w:w="22%"/>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val="false"/>
                <w:bCs w:val="false"/>
                <w:i w:val="false"/>
                <w:iCs w:val="false"/>
                <w:caps w:val="false"/>
                <w:color w:val="5A6472"/>
                <w:sz w:val="19"/>
                <w:szCs w:val="19"/>
              </w:rPr>
              <w:t xml:space="preserve">14:55 to 15:45</w:t>
            </w:r>
          </w:p>
        </w:tc>
        <w:tc>
          <w:tcPr>
            <w:tcW w:type="pct" w:w="58%"/>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bCs/>
                <w:i w:val="false"/>
                <w:iCs w:val="false"/>
                <w:caps w:val="false"/>
                <w:color w:val="0F1C69"/>
                <w:sz w:val="20"/>
                <w:szCs w:val="20"/>
              </w:rPr>
              <w:t xml:space="preserve">Supplementary Pensions, Auto Enrolment and Retail Investment: Will Household Savings Reach the Market?</w:t>
            </w:r>
          </w:p>
        </w:tc>
        <w:tc>
          <w:tcPr>
            <w:tcW w:type="pct" w:w="20%"/>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val="false"/>
                <w:bCs w:val="false"/>
                <w:i w:val="false"/>
                <w:iCs w:val="false"/>
                <w:caps/>
                <w:color w:val="5A6472"/>
                <w:spacing w:val="20"/>
                <w:sz w:val="17"/>
                <w:szCs w:val="17"/>
              </w:rPr>
              <w:t xml:space="preserve">PANEL 5</w:t>
            </w:r>
          </w:p>
        </w:tc>
      </w:tr>
      <w:tr>
        <w:tc>
          <w:tcPr>
            <w:tcW w:type="pct" w:w="22%"/>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val="false"/>
                <w:bCs w:val="false"/>
                <w:i w:val="false"/>
                <w:iCs w:val="false"/>
                <w:caps w:val="false"/>
                <w:color w:val="5A6472"/>
                <w:sz w:val="19"/>
                <w:szCs w:val="19"/>
              </w:rPr>
              <w:t xml:space="preserve">15:45 to 16:05</w:t>
            </w:r>
          </w:p>
        </w:tc>
        <w:tc>
          <w:tcPr>
            <w:tcW w:type="pct" w:w="58%"/>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bCs/>
                <w:i w:val="false"/>
                <w:iCs w:val="false"/>
                <w:caps w:val="false"/>
                <w:color w:val="0F1C69"/>
                <w:sz w:val="20"/>
                <w:szCs w:val="20"/>
              </w:rPr>
              <w:t xml:space="preserve">Savings, Allocation and Public Money: Will More European Capital Be Moving by 2028?</w:t>
            </w:r>
          </w:p>
        </w:tc>
        <w:tc>
          <w:tcPr>
            <w:tcW w:type="pct" w:w="20%"/>
            <w:tcBorders>
              <w:top w:val="single" w:color="D8DCE2" w:sz="2"/>
              <w:left w:val="none" w:color="FFFFFF" w:sz="0"/>
              <w:bottom w:val="single" w:color="D8DCE2" w:sz="2"/>
              <w:right w:val="none" w:color="FFFFFF" w:sz="0"/>
            </w:tcBorders>
            <w:tcMar>
              <w:top w:type="dxa" w:w="90"/>
              <w:left w:type="dxa" w:w="110"/>
              <w:bottom w:type="dxa" w:w="90"/>
              <w:right w:type="dxa" w:w="110"/>
            </w:tcMar>
          </w:tcPr>
          <w:p>
            <w:pPr>
              <w:keepNext w:val="false"/>
              <w:spacing w:after="0" w:before="0"/>
            </w:pPr>
            <w:r>
              <w:rPr>
                <w:rFonts w:ascii="Calibri" w:cs="Calibri" w:eastAsia="Calibri" w:hAnsi="Calibri"/>
                <w:b w:val="false"/>
                <w:bCs w:val="false"/>
                <w:i w:val="false"/>
                <w:iCs w:val="false"/>
                <w:caps/>
                <w:color w:val="5A6472"/>
                <w:spacing w:val="20"/>
                <w:sz w:val="17"/>
                <w:szCs w:val="17"/>
              </w:rPr>
              <w:t xml:space="preserve">CLOSING SESSION</w:t>
            </w:r>
          </w:p>
        </w:tc>
      </w:tr>
    </w:tbl>
    <w:p>
      <w:pPr>
        <w:keepNext w:val="false"/>
        <w:spacing w:after="0" w:before="480"/>
      </w:pPr>
      <w:r>
        <w:rPr>
          <w:rFonts w:ascii="Calibri" w:cs="Calibri" w:eastAsia="Calibri" w:hAnsi="Calibri"/>
          <w:b w:val="false"/>
          <w:bCs w:val="false"/>
          <w:i w:val="false"/>
          <w:iCs w:val="false"/>
          <w:caps w:val="false"/>
          <w:color w:val="5A6472"/>
          <w:sz w:val="17"/>
          <w:szCs w:val="17"/>
        </w:rPr>
        <w:t xml:space="preserve">Programme as it stood on Wednesday 14 October 2026. Speakers are announced as they confirm.</w:t>
      </w:r>
    </w:p>
    <w:sectPr>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Financing Europe 2027 programme</dc:title>
  <dc:creator>Forum Europe</dc:creator>
  <dc:description>The programme as it stands on the site. Built from programme.json.</dc:description>
  <cp:lastModifiedBy>Un-named</cp:lastModifiedBy>
  <cp:revision>1</cp:revision>
  <dcterms:created xsi:type="dcterms:W3CDTF">2026-10-14T08:27:37.311Z</dcterms:created>
  <dcterms:modified xsi:type="dcterms:W3CDTF">2026-10-14T08:27:37.311Z</dcterms:modified>
</cp:coreProperties>
</file>

<file path=docProps/custom.xml><?xml version="1.0" encoding="utf-8"?>
<Properties xmlns="http://schemas.openxmlformats.org/officeDocument/2006/custom-properties" xmlns:vt="http://schemas.openxmlformats.org/officeDocument/2006/docPropsVTypes"/>
</file>